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 xml:space="preserve">EDITAL DE CHAMAMENTO PÚBLICO Nº </w:t>
      </w: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>027</w:t>
      </w: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>/2024 – FOMENTO ÀS PRODUÇÕES AUDIOVISUAIS: CURTAS-METRAGENS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027/2024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pessoa com deficiência</w:t>
      </w:r>
      <w:r>
        <w:rPr>
          <w:rFonts w:cs="Calibri" w:ascii="Calibri" w:hAnsi="Calibri"/>
          <w:color w:val="000000"/>
          <w:sz w:val="27"/>
          <w:szCs w:val="27"/>
        </w:rPr>
        <w:t>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/>
      <w:drawing>
        <wp:inline distT="0" distB="0" distL="0" distR="0">
          <wp:extent cx="1828800" cy="35115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1</Pages>
  <Words>80</Words>
  <Characters>562</Characters>
  <CharactersWithSpaces>639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2024-09-24T13:41:01Z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